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harts/chart/colors1.xml" ContentType="application/vnd.ms-office.chartcolorstyle+xml"/>
  <Override PartName="/word/charts/chart/colors2.xml" ContentType="application/vnd.ms-office.chartcolorstyle+xml"/>
  <Override PartName="/word/charts/chart/style1.xml" ContentType="application/vnd.ms-office.chartstyle+xml"/>
  <Override PartName="/word/charts/chart/style2.xml" ContentType="application/vnd.ms-office.chartstyle+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9208FF" w:rsidRPr="00A40503" w:rsidP="00A40503">
      <w:pPr>
        <w:spacing w:line="480" w:lineRule="auto"/>
        <w:jc w:val="center"/>
        <w:rPr>
          <w:rFonts w:ascii="Times New Roman" w:hAnsi="Times New Roman" w:cs="Times New Roman"/>
          <w:sz w:val="24"/>
          <w:szCs w:val="24"/>
        </w:rPr>
      </w:pPr>
    </w:p>
    <w:p w:rsidR="009208FF" w:rsidRPr="00A40503" w:rsidP="00A40503">
      <w:pPr>
        <w:spacing w:line="480" w:lineRule="auto"/>
        <w:rPr>
          <w:rFonts w:ascii="Times New Roman" w:hAnsi="Times New Roman" w:cs="Times New Roman"/>
          <w:sz w:val="24"/>
          <w:szCs w:val="24"/>
        </w:rPr>
      </w:pPr>
    </w:p>
    <w:p w:rsidR="009208FF" w:rsidRPr="00A40503" w:rsidP="00A40503">
      <w:pPr>
        <w:spacing w:line="480" w:lineRule="auto"/>
        <w:rPr>
          <w:rFonts w:ascii="Times New Roman" w:hAnsi="Times New Roman" w:cs="Times New Roman"/>
          <w:sz w:val="24"/>
          <w:szCs w:val="24"/>
        </w:rPr>
      </w:pPr>
    </w:p>
    <w:p w:rsidR="0001792A" w:rsidP="00193DDC">
      <w:pPr>
        <w:spacing w:line="480" w:lineRule="auto"/>
        <w:jc w:val="center"/>
        <w:rPr>
          <w:rFonts w:ascii="Times New Roman" w:hAnsi="Times New Roman" w:cs="Times New Roman"/>
          <w:sz w:val="24"/>
          <w:szCs w:val="24"/>
        </w:rPr>
      </w:pPr>
    </w:p>
    <w:p w:rsidR="009208FF" w:rsidRPr="00A40503" w:rsidP="0001792A">
      <w:pPr>
        <w:spacing w:line="480" w:lineRule="auto"/>
        <w:jc w:val="center"/>
        <w:rPr>
          <w:rFonts w:ascii="Times New Roman" w:hAnsi="Times New Roman" w:cs="Times New Roman"/>
          <w:sz w:val="24"/>
          <w:szCs w:val="24"/>
        </w:rPr>
      </w:pPr>
      <w:r>
        <w:rPr>
          <w:rFonts w:ascii="Times New Roman" w:hAnsi="Times New Roman" w:cs="Times New Roman"/>
          <w:sz w:val="24"/>
          <w:szCs w:val="24"/>
        </w:rPr>
        <w:t>Role of Enzyme in the Cell</w:t>
      </w:r>
    </w:p>
    <w:p w:rsidR="00325356"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ab/>
        <w:t>Student Name</w:t>
      </w:r>
    </w:p>
    <w:p w:rsidR="009208FF" w:rsidRPr="00A40503" w:rsidP="00A40503">
      <w:pPr>
        <w:tabs>
          <w:tab w:val="left" w:pos="4005"/>
        </w:tabs>
        <w:spacing w:line="480" w:lineRule="auto"/>
        <w:jc w:val="center"/>
        <w:rPr>
          <w:rFonts w:ascii="Times New Roman" w:hAnsi="Times New Roman" w:cs="Times New Roman"/>
          <w:sz w:val="24"/>
          <w:szCs w:val="24"/>
        </w:rPr>
      </w:pPr>
      <w:r w:rsidRPr="00A40503">
        <w:rPr>
          <w:rFonts w:ascii="Times New Roman" w:hAnsi="Times New Roman" w:cs="Times New Roman"/>
          <w:sz w:val="24"/>
          <w:szCs w:val="24"/>
        </w:rPr>
        <w:t>Institutional Affiliation</w:t>
      </w: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A40503" w:rsidP="00A40503">
      <w:pPr>
        <w:tabs>
          <w:tab w:val="left" w:pos="4005"/>
        </w:tabs>
        <w:spacing w:line="480" w:lineRule="auto"/>
        <w:rPr>
          <w:rFonts w:ascii="Times New Roman" w:hAnsi="Times New Roman" w:cs="Times New Roman"/>
          <w:sz w:val="24"/>
          <w:szCs w:val="24"/>
        </w:rPr>
      </w:pPr>
    </w:p>
    <w:p w:rsidR="009208FF"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The reason for conducting this experiment is to investigate the role of enzymes in the cell. They make slow reactions in the cells faster. They assist in converting reactants to products by lowering the energy of the transition state.</w:t>
      </w:r>
      <w:r w:rsidR="00497B0B">
        <w:rPr>
          <w:rFonts w:ascii="Times New Roman" w:hAnsi="Times New Roman" w:cs="Times New Roman"/>
          <w:sz w:val="24"/>
          <w:szCs w:val="24"/>
        </w:rPr>
        <w:t xml:space="preserve"> To achieve these enzymes were characterized </w:t>
      </w:r>
      <w:r w:rsidRPr="00A40503" w:rsidR="004C2E4B">
        <w:rPr>
          <w:rFonts w:ascii="Times New Roman" w:hAnsi="Times New Roman" w:cs="Times New Roman"/>
          <w:sz w:val="24"/>
          <w:szCs w:val="24"/>
        </w:rPr>
        <w:t xml:space="preserve">using a </w:t>
      </w:r>
      <w:r w:rsidR="00497B0B">
        <w:rPr>
          <w:rFonts w:ascii="Times New Roman" w:hAnsi="Times New Roman" w:cs="Times New Roman"/>
          <w:sz w:val="24"/>
          <w:szCs w:val="24"/>
        </w:rPr>
        <w:t xml:space="preserve">few parameters: Vmax and Km. Also, </w:t>
      </w:r>
      <w:r w:rsidRPr="00A40503" w:rsidR="004C2E4B">
        <w:rPr>
          <w:rFonts w:ascii="Times New Roman" w:hAnsi="Times New Roman" w:cs="Times New Roman"/>
          <w:sz w:val="24"/>
          <w:szCs w:val="24"/>
        </w:rPr>
        <w:t xml:space="preserve">the rate of chemical reaction </w:t>
      </w:r>
      <w:r w:rsidR="00497B0B">
        <w:rPr>
          <w:rFonts w:ascii="Times New Roman" w:hAnsi="Times New Roman" w:cs="Times New Roman"/>
          <w:sz w:val="24"/>
          <w:szCs w:val="24"/>
        </w:rPr>
        <w:t xml:space="preserve">was determined </w:t>
      </w:r>
      <w:r w:rsidRPr="00A40503" w:rsidR="004C2E4B">
        <w:rPr>
          <w:rFonts w:ascii="Times New Roman" w:hAnsi="Times New Roman" w:cs="Times New Roman"/>
          <w:sz w:val="24"/>
          <w:szCs w:val="24"/>
        </w:rPr>
        <w:t xml:space="preserve">by measuring the amount of products over time. </w:t>
      </w:r>
      <w:r w:rsidR="00497B0B">
        <w:rPr>
          <w:rFonts w:ascii="Times New Roman" w:hAnsi="Times New Roman" w:cs="Times New Roman"/>
          <w:sz w:val="24"/>
          <w:szCs w:val="24"/>
        </w:rPr>
        <w:t>T</w:t>
      </w:r>
      <w:r w:rsidRPr="00A40503" w:rsidR="004C2E4B">
        <w:rPr>
          <w:rFonts w:ascii="Times New Roman" w:hAnsi="Times New Roman" w:cs="Times New Roman"/>
          <w:sz w:val="24"/>
          <w:szCs w:val="24"/>
        </w:rPr>
        <w:t xml:space="preserve">he Beer-Lambert Law </w:t>
      </w:r>
      <w:r w:rsidR="00497B0B">
        <w:rPr>
          <w:rFonts w:ascii="Times New Roman" w:hAnsi="Times New Roman" w:cs="Times New Roman"/>
          <w:sz w:val="24"/>
          <w:szCs w:val="24"/>
        </w:rPr>
        <w:t xml:space="preserve">was applied </w:t>
      </w:r>
      <w:r w:rsidRPr="00A40503" w:rsidR="004C2E4B">
        <w:rPr>
          <w:rFonts w:ascii="Times New Roman" w:hAnsi="Times New Roman" w:cs="Times New Roman"/>
          <w:sz w:val="24"/>
          <w:szCs w:val="24"/>
        </w:rPr>
        <w:t>to make a relation of the amount of light absorbed to the concentration of the coloured products.</w:t>
      </w:r>
      <w:r w:rsidR="00497B0B">
        <w:rPr>
          <w:rFonts w:ascii="Times New Roman" w:hAnsi="Times New Roman" w:cs="Times New Roman"/>
          <w:sz w:val="24"/>
          <w:szCs w:val="24"/>
        </w:rPr>
        <w:t xml:space="preserve"> In this experiment, </w:t>
      </w:r>
      <w:r w:rsidRPr="00A40503" w:rsidR="00ED1890">
        <w:rPr>
          <w:rFonts w:ascii="Times New Roman" w:hAnsi="Times New Roman" w:cs="Times New Roman"/>
          <w:sz w:val="24"/>
          <w:szCs w:val="24"/>
        </w:rPr>
        <w:t xml:space="preserve">an enzyme, </w:t>
      </w:r>
      <w:r w:rsidRPr="00A40503" w:rsidR="006076F2">
        <w:rPr>
          <w:rFonts w:ascii="Times New Roman" w:hAnsi="Times New Roman" w:cs="Times New Roman"/>
          <w:sz w:val="24"/>
          <w:szCs w:val="24"/>
        </w:rPr>
        <w:t xml:space="preserve">bovine </w:t>
      </w:r>
      <w:r w:rsidR="00497B0B">
        <w:rPr>
          <w:rFonts w:ascii="Times New Roman" w:hAnsi="Times New Roman" w:cs="Times New Roman"/>
          <w:sz w:val="24"/>
          <w:szCs w:val="24"/>
        </w:rPr>
        <w:t>alkaline phosphate was used</w:t>
      </w:r>
      <w:r w:rsidRPr="00A40503" w:rsidR="006076F2">
        <w:rPr>
          <w:rFonts w:ascii="Times New Roman" w:hAnsi="Times New Roman" w:cs="Times New Roman"/>
          <w:sz w:val="24"/>
          <w:szCs w:val="24"/>
        </w:rPr>
        <w:t xml:space="preserve"> to determine the removal of phosphate from the substrate, p-nitrophenyl phosphate.
</w:t>
      </w:r>
    </w:p>
    <w:p w:rsidR="006076F2"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There are several abbreviations: Vo which is the linear rate or the initial velocity. It also one of the critical feature of an enzyme-catalyzed reaction. The initial velocity is dependent on the</w:t>
      </w:r>
      <w:r w:rsidRPr="00A40503" w:rsidR="00FA72EE">
        <w:rPr>
          <w:rFonts w:ascii="Times New Roman" w:hAnsi="Times New Roman" w:cs="Times New Roman"/>
          <w:sz w:val="24"/>
          <w:szCs w:val="24"/>
        </w:rPr>
        <w:t xml:space="preserve"> substrate concentration (S).</w:t>
      </w:r>
      <w:r w:rsidR="00497B0B">
        <w:rPr>
          <w:rFonts w:ascii="Times New Roman" w:hAnsi="Times New Roman" w:cs="Times New Roman"/>
          <w:sz w:val="24"/>
          <w:szCs w:val="24"/>
        </w:rPr>
        <w:t xml:space="preserve"> There also </w:t>
      </w:r>
      <w:r w:rsidRPr="00A40503">
        <w:rPr>
          <w:rFonts w:ascii="Times New Roman" w:hAnsi="Times New Roman" w:cs="Times New Roman"/>
          <w:sz w:val="24"/>
          <w:szCs w:val="24"/>
        </w:rPr>
        <w:t xml:space="preserve">Vmax, which is the maximum velocity, and it is the fastest that the given amount of enzyme can convert substrate </w:t>
      </w:r>
      <w:r w:rsidRPr="00A40503" w:rsidR="00FA72EE">
        <w:rPr>
          <w:rFonts w:ascii="Times New Roman" w:hAnsi="Times New Roman" w:cs="Times New Roman"/>
          <w:sz w:val="24"/>
          <w:szCs w:val="24"/>
        </w:rPr>
        <w:t>to products.</w:t>
      </w:r>
    </w:p>
    <w:p w:rsidR="00FA72EE" w:rsidRPr="00A40503" w:rsidP="00A40503">
      <w:pPr>
        <w:tabs>
          <w:tab w:val="left" w:pos="4005"/>
        </w:tabs>
        <w:spacing w:line="480" w:lineRule="auto"/>
        <w:rPr>
          <w:rFonts w:ascii="Times New Roman" w:hAnsi="Times New Roman" w:cs="Times New Roman"/>
          <w:sz w:val="24"/>
          <w:szCs w:val="24"/>
        </w:rPr>
      </w:pPr>
      <w:r>
        <w:rPr>
          <w:rFonts w:ascii="Times New Roman" w:hAnsi="Times New Roman" w:cs="Times New Roman"/>
          <w:sz w:val="24"/>
          <w:szCs w:val="24"/>
        </w:rPr>
        <w:t xml:space="preserve">A </w:t>
      </w:r>
      <w:r w:rsidRPr="00A40503">
        <w:rPr>
          <w:rFonts w:ascii="Times New Roman" w:hAnsi="Times New Roman" w:cs="Times New Roman"/>
          <w:sz w:val="24"/>
          <w:szCs w:val="24"/>
        </w:rPr>
        <w:t xml:space="preserve">spectrometer </w:t>
      </w:r>
      <w:r>
        <w:rPr>
          <w:rFonts w:ascii="Times New Roman" w:hAnsi="Times New Roman" w:cs="Times New Roman"/>
          <w:sz w:val="24"/>
          <w:szCs w:val="24"/>
        </w:rPr>
        <w:t xml:space="preserve">was used </w:t>
      </w:r>
      <w:r w:rsidRPr="00A40503">
        <w:rPr>
          <w:rFonts w:ascii="Times New Roman" w:hAnsi="Times New Roman" w:cs="Times New Roman"/>
          <w:sz w:val="24"/>
          <w:szCs w:val="24"/>
        </w:rPr>
        <w:t>to measure the amount of p-nitroph</w:t>
      </w:r>
      <w:r>
        <w:rPr>
          <w:rFonts w:ascii="Times New Roman" w:hAnsi="Times New Roman" w:cs="Times New Roman"/>
          <w:sz w:val="24"/>
          <w:szCs w:val="24"/>
        </w:rPr>
        <w:t>enol produced over time. Then there was the calculation of</w:t>
      </w:r>
      <w:r w:rsidRPr="00A40503">
        <w:rPr>
          <w:rFonts w:ascii="Times New Roman" w:hAnsi="Times New Roman" w:cs="Times New Roman"/>
          <w:sz w:val="24"/>
          <w:szCs w:val="24"/>
        </w:rPr>
        <w:t xml:space="preserve"> the slope of the line produced to determine the </w:t>
      </w:r>
      <w:r>
        <w:rPr>
          <w:rFonts w:ascii="Times New Roman" w:hAnsi="Times New Roman" w:cs="Times New Roman"/>
          <w:sz w:val="24"/>
          <w:szCs w:val="24"/>
        </w:rPr>
        <w:t>rate of change in absorbance. There was also the use of</w:t>
      </w:r>
      <w:r w:rsidRPr="00A40503">
        <w:rPr>
          <w:rFonts w:ascii="Times New Roman" w:hAnsi="Times New Roman" w:cs="Times New Roman"/>
          <w:sz w:val="24"/>
          <w:szCs w:val="24"/>
        </w:rPr>
        <w:t xml:space="preserve"> </w:t>
      </w:r>
      <w:r w:rsidRPr="00A40503" w:rsidR="003F134E">
        <w:rPr>
          <w:rFonts w:ascii="Times New Roman" w:hAnsi="Times New Roman" w:cs="Times New Roman"/>
          <w:sz w:val="24"/>
          <w:szCs w:val="24"/>
        </w:rPr>
        <w:t xml:space="preserve">the rate of product concentration using the Beer-Lambert Law which says that </w:t>
      </w:r>
    </w:p>
    <w:p w:rsidR="003F134E"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 xml:space="preserve">Absorbance= Concentration * Pathlength * Extinction Coefficient </w:t>
      </w:r>
    </w:p>
    <w:p w:rsidR="00F83D90" w:rsidRPr="00A40503" w:rsidP="00A40503">
      <w:pPr>
        <w:tabs>
          <w:tab w:val="left" w:pos="4005"/>
        </w:tabs>
        <w:spacing w:line="480" w:lineRule="auto"/>
        <w:rPr>
          <w:rFonts w:ascii="Times New Roman" w:hAnsi="Times New Roman" w:cs="Times New Roman"/>
          <w:sz w:val="24"/>
          <w:szCs w:val="24"/>
        </w:rPr>
      </w:pPr>
    </w:p>
    <w:tbl>
      <w:tblPr>
        <w:tblStyle w:val="TableGrid"/>
        <w:tblW w:w="0" w:type="auto"/>
        <w:tblLook w:val="04A0"/>
      </w:tblPr>
      <w:tblGrid>
        <w:gridCol w:w="1900"/>
        <w:gridCol w:w="1912"/>
        <w:gridCol w:w="1580"/>
      </w:tblGrid>
      <w:tr w:rsidTr="00F83D90">
        <w:tblPrEx>
          <w:tblW w:w="0" w:type="auto"/>
          <w:tblLook w:val="04A0"/>
        </w:tblPrEx>
        <w:trPr>
          <w:trHeight w:val="300"/>
        </w:trPr>
        <w:tc>
          <w:tcPr>
            <w:tcW w:w="190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Concentration (</w:t>
            </w:r>
            <w:r w:rsidRPr="00A40503">
              <w:rPr>
                <w:rFonts w:ascii="Times New Roman" w:hAnsi="Times New Roman" w:cs="Times New Roman"/>
                <w:sz w:val="24"/>
                <w:szCs w:val="24"/>
              </w:rPr>
              <w:t>mM</w:t>
            </w:r>
            <w:r w:rsidRPr="00A40503">
              <w:rPr>
                <w:rFonts w:ascii="Times New Roman" w:hAnsi="Times New Roman" w:cs="Times New Roman"/>
                <w:sz w:val="24"/>
                <w:szCs w:val="24"/>
              </w:rPr>
              <w:t xml:space="preserve">) </w:t>
            </w:r>
          </w:p>
        </w:tc>
        <w:tc>
          <w:tcPr>
            <w:tcW w:w="1912"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Rate (</w:t>
            </w:r>
            <w:r w:rsidRPr="00A40503">
              <w:rPr>
                <w:rFonts w:ascii="Times New Roman" w:hAnsi="Times New Roman" w:cs="Times New Roman"/>
                <w:sz w:val="24"/>
                <w:szCs w:val="24"/>
              </w:rPr>
              <w:t>uM</w:t>
            </w:r>
            <w:r w:rsidRPr="00A40503">
              <w:rPr>
                <w:rFonts w:ascii="Times New Roman" w:hAnsi="Times New Roman" w:cs="Times New Roman"/>
                <w:sz w:val="24"/>
                <w:szCs w:val="24"/>
              </w:rPr>
              <w:t>/s)</w:t>
            </w: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Rate (</w:t>
            </w:r>
            <w:r w:rsidRPr="00A40503">
              <w:rPr>
                <w:rFonts w:ascii="Times New Roman" w:hAnsi="Times New Roman" w:cs="Times New Roman"/>
                <w:sz w:val="24"/>
                <w:szCs w:val="24"/>
              </w:rPr>
              <w:t>uM</w:t>
            </w:r>
            <w:r w:rsidRPr="00A40503">
              <w:rPr>
                <w:rFonts w:ascii="Times New Roman" w:hAnsi="Times New Roman" w:cs="Times New Roman"/>
                <w:sz w:val="24"/>
                <w:szCs w:val="24"/>
              </w:rPr>
              <w:t>/s)</w:t>
            </w:r>
          </w:p>
        </w:tc>
      </w:tr>
      <w:tr w:rsidTr="00F83D90">
        <w:tblPrEx>
          <w:tblW w:w="0" w:type="auto"/>
          <w:tblLook w:val="04A0"/>
        </w:tblPrEx>
        <w:trPr>
          <w:trHeight w:val="300"/>
        </w:trPr>
        <w:tc>
          <w:tcPr>
            <w:tcW w:w="190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0.48</w:t>
            </w:r>
          </w:p>
        </w:tc>
        <w:tc>
          <w:tcPr>
            <w:tcW w:w="1912"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0.339</w:t>
            </w: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0.08093</w:t>
            </w:r>
          </w:p>
        </w:tc>
      </w:tr>
      <w:tr w:rsidTr="00F83D90">
        <w:tblPrEx>
          <w:tblW w:w="0" w:type="auto"/>
          <w:tblLook w:val="04A0"/>
        </w:tblPrEx>
        <w:trPr>
          <w:trHeight w:val="300"/>
        </w:trPr>
        <w:tc>
          <w:tcPr>
            <w:tcW w:w="190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0.24</w:t>
            </w:r>
          </w:p>
        </w:tc>
        <w:tc>
          <w:tcPr>
            <w:tcW w:w="1912"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0.746</w:t>
            </w: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0.1486</w:t>
            </w:r>
          </w:p>
        </w:tc>
      </w:tr>
      <w:tr w:rsidTr="00F83D90">
        <w:tblPrEx>
          <w:tblW w:w="0" w:type="auto"/>
          <w:tblLook w:val="04A0"/>
        </w:tblPrEx>
        <w:trPr>
          <w:trHeight w:val="300"/>
        </w:trPr>
        <w:tc>
          <w:tcPr>
            <w:tcW w:w="190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0.16</w:t>
            </w:r>
          </w:p>
        </w:tc>
        <w:tc>
          <w:tcPr>
            <w:tcW w:w="1912"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0.2472</w:t>
            </w: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0.09</w:t>
            </w:r>
          </w:p>
        </w:tc>
      </w:tr>
      <w:tr w:rsidTr="00F83D90">
        <w:tblPrEx>
          <w:tblW w:w="0" w:type="auto"/>
          <w:tblLook w:val="04A0"/>
        </w:tblPrEx>
        <w:trPr>
          <w:trHeight w:val="300"/>
        </w:trPr>
        <w:tc>
          <w:tcPr>
            <w:tcW w:w="190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0.096</w:t>
            </w:r>
          </w:p>
        </w:tc>
        <w:tc>
          <w:tcPr>
            <w:tcW w:w="1912"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0.205</w:t>
            </w: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0.0761</w:t>
            </w:r>
          </w:p>
        </w:tc>
      </w:tr>
      <w:tr w:rsidTr="00F83D90">
        <w:tblPrEx>
          <w:tblW w:w="0" w:type="auto"/>
          <w:tblLook w:val="04A0"/>
        </w:tblPrEx>
        <w:trPr>
          <w:trHeight w:val="300"/>
        </w:trPr>
        <w:tc>
          <w:tcPr>
            <w:tcW w:w="1900" w:type="dxa"/>
            <w:noWrap/>
            <w:hideMark/>
          </w:tcPr>
          <w:p w:rsidR="00F83D90" w:rsidRPr="00A40503" w:rsidP="00A40503">
            <w:pPr>
              <w:tabs>
                <w:tab w:val="left" w:pos="4005"/>
              </w:tabs>
              <w:spacing w:line="480" w:lineRule="auto"/>
              <w:rPr>
                <w:rFonts w:ascii="Times New Roman" w:hAnsi="Times New Roman" w:cs="Times New Roman"/>
                <w:sz w:val="24"/>
                <w:szCs w:val="24"/>
              </w:rPr>
            </w:pPr>
          </w:p>
        </w:tc>
        <w:tc>
          <w:tcPr>
            <w:tcW w:w="1912" w:type="dxa"/>
            <w:noWrap/>
            <w:hideMark/>
          </w:tcPr>
          <w:p w:rsidR="00F83D90" w:rsidRPr="00A40503" w:rsidP="00A40503">
            <w:pPr>
              <w:tabs>
                <w:tab w:val="left" w:pos="4005"/>
              </w:tabs>
              <w:spacing w:line="480" w:lineRule="auto"/>
              <w:rPr>
                <w:rFonts w:ascii="Times New Roman" w:hAnsi="Times New Roman" w:cs="Times New Roman"/>
                <w:sz w:val="24"/>
                <w:szCs w:val="24"/>
              </w:rPr>
            </w:pP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p>
        </w:tc>
      </w:tr>
      <w:tr w:rsidTr="00F83D90">
        <w:tblPrEx>
          <w:tblW w:w="0" w:type="auto"/>
          <w:tblLook w:val="04A0"/>
        </w:tblPrEx>
        <w:trPr>
          <w:trHeight w:val="300"/>
        </w:trPr>
        <w:tc>
          <w:tcPr>
            <w:tcW w:w="190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0.048</w:t>
            </w:r>
          </w:p>
        </w:tc>
        <w:tc>
          <w:tcPr>
            <w:tcW w:w="1912"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0.1322</w:t>
            </w: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0.0667</w:t>
            </w:r>
          </w:p>
        </w:tc>
      </w:tr>
      <w:tr w:rsidTr="00F83D90">
        <w:tblPrEx>
          <w:tblW w:w="0" w:type="auto"/>
          <w:tblLook w:val="04A0"/>
        </w:tblPrEx>
        <w:trPr>
          <w:trHeight w:val="300"/>
        </w:trPr>
        <w:tc>
          <w:tcPr>
            <w:tcW w:w="1900" w:type="dxa"/>
            <w:noWrap/>
            <w:hideMark/>
          </w:tcPr>
          <w:p w:rsidR="00F83D90" w:rsidRPr="00A40503" w:rsidP="00A40503">
            <w:pPr>
              <w:tabs>
                <w:tab w:val="left" w:pos="4005"/>
              </w:tabs>
              <w:spacing w:line="480" w:lineRule="auto"/>
              <w:rPr>
                <w:rFonts w:ascii="Times New Roman" w:hAnsi="Times New Roman" w:cs="Times New Roman"/>
                <w:sz w:val="24"/>
                <w:szCs w:val="24"/>
              </w:rPr>
            </w:pPr>
          </w:p>
        </w:tc>
        <w:tc>
          <w:tcPr>
            <w:tcW w:w="1912"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orange = no inhibitor</w:t>
            </w: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 xml:space="preserve">blue = inhibitor </w:t>
            </w:r>
          </w:p>
        </w:tc>
      </w:tr>
      <w:tr w:rsidTr="00F83D90">
        <w:tblPrEx>
          <w:tblW w:w="0" w:type="auto"/>
          <w:tblLook w:val="04A0"/>
        </w:tblPrEx>
        <w:trPr>
          <w:trHeight w:val="300"/>
        </w:trPr>
        <w:tc>
          <w:tcPr>
            <w:tcW w:w="1900" w:type="dxa"/>
            <w:noWrap/>
            <w:hideMark/>
          </w:tcPr>
          <w:p w:rsidR="00F83D90" w:rsidRPr="00A40503" w:rsidP="00A40503">
            <w:pPr>
              <w:tabs>
                <w:tab w:val="left" w:pos="4005"/>
              </w:tabs>
              <w:spacing w:line="480" w:lineRule="auto"/>
              <w:rPr>
                <w:rFonts w:ascii="Times New Roman" w:hAnsi="Times New Roman" w:cs="Times New Roman"/>
                <w:sz w:val="24"/>
                <w:szCs w:val="24"/>
              </w:rPr>
            </w:pPr>
          </w:p>
        </w:tc>
        <w:tc>
          <w:tcPr>
            <w:tcW w:w="1912" w:type="dxa"/>
            <w:noWrap/>
            <w:hideMark/>
          </w:tcPr>
          <w:p w:rsidR="00F83D90" w:rsidRPr="00A40503" w:rsidP="00A40503">
            <w:pPr>
              <w:tabs>
                <w:tab w:val="left" w:pos="4005"/>
              </w:tabs>
              <w:spacing w:line="480" w:lineRule="auto"/>
              <w:rPr>
                <w:rFonts w:ascii="Times New Roman" w:hAnsi="Times New Roman" w:cs="Times New Roman"/>
                <w:sz w:val="24"/>
                <w:szCs w:val="24"/>
              </w:rPr>
            </w:pP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p>
        </w:tc>
      </w:tr>
      <w:tr w:rsidTr="00F83D90">
        <w:tblPrEx>
          <w:tblW w:w="0" w:type="auto"/>
          <w:tblLook w:val="04A0"/>
        </w:tblPrEx>
        <w:trPr>
          <w:trHeight w:val="300"/>
        </w:trPr>
        <w:tc>
          <w:tcPr>
            <w:tcW w:w="3812" w:type="dxa"/>
            <w:gridSpan w:val="2"/>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rate = Average Product Conc. *100</w:t>
            </w: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 </w:t>
            </w:r>
          </w:p>
        </w:tc>
      </w:tr>
    </w:tbl>
    <w:p w:rsidR="00F83D90" w:rsidRPr="00A40503" w:rsidP="00A40503">
      <w:pPr>
        <w:tabs>
          <w:tab w:val="left" w:pos="4005"/>
        </w:tabs>
        <w:spacing w:line="480" w:lineRule="auto"/>
        <w:rPr>
          <w:rFonts w:ascii="Times New Roman" w:hAnsi="Times New Roman" w:cs="Times New Roman"/>
          <w:sz w:val="24"/>
          <w:szCs w:val="24"/>
        </w:rPr>
      </w:pPr>
    </w:p>
    <w:p w:rsidR="00F83D90" w:rsidRPr="00A40503" w:rsidP="00A40503">
      <w:pPr>
        <w:tabs>
          <w:tab w:val="left" w:pos="4005"/>
        </w:tabs>
        <w:spacing w:line="480" w:lineRule="auto"/>
        <w:rPr>
          <w:rFonts w:ascii="Times New Roman" w:hAnsi="Times New Roman" w:cs="Times New Roman"/>
          <w:sz w:val="24"/>
          <w:szCs w:val="24"/>
        </w:rPr>
      </w:pPr>
      <w:r>
        <w:rPr>
          <w:rFonts w:ascii="Times New Roman" w:hAnsi="Times New Roman" w:cs="Times New Roman"/>
          <w:sz w:val="24"/>
          <w:szCs w:val="24"/>
        </w:rPr>
        <w:t>T</w:t>
      </w:r>
      <w:r w:rsidRPr="00A40503">
        <w:rPr>
          <w:rFonts w:ascii="Times New Roman" w:hAnsi="Times New Roman" w:cs="Times New Roman"/>
          <w:sz w:val="24"/>
          <w:szCs w:val="24"/>
        </w:rPr>
        <w:t>he experiment in the absence of the inhibitor</w:t>
      </w:r>
      <w:r w:rsidRPr="00A40503" w:rsidR="00E320AF">
        <w:rPr>
          <w:rFonts w:ascii="Times New Roman" w:hAnsi="Times New Roman" w:cs="Times New Roman"/>
          <w:sz w:val="24"/>
          <w:szCs w:val="24"/>
        </w:rPr>
        <w:t xml:space="preserve"> </w:t>
      </w:r>
      <w:r>
        <w:rPr>
          <w:rFonts w:ascii="Times New Roman" w:hAnsi="Times New Roman" w:cs="Times New Roman"/>
          <w:sz w:val="24"/>
          <w:szCs w:val="24"/>
        </w:rPr>
        <w:t xml:space="preserve">was done, </w:t>
      </w:r>
      <w:r w:rsidRPr="00A40503" w:rsidR="00E320AF">
        <w:rPr>
          <w:rFonts w:ascii="Times New Roman" w:hAnsi="Times New Roman" w:cs="Times New Roman"/>
          <w:sz w:val="24"/>
          <w:szCs w:val="24"/>
        </w:rPr>
        <w:t>and in the second col</w:t>
      </w:r>
      <w:r>
        <w:rPr>
          <w:rFonts w:ascii="Times New Roman" w:hAnsi="Times New Roman" w:cs="Times New Roman"/>
          <w:sz w:val="24"/>
          <w:szCs w:val="24"/>
        </w:rPr>
        <w:t>umn is the rate of reaction. A</w:t>
      </w:r>
      <w:r w:rsidRPr="00A40503" w:rsidR="00E320AF">
        <w:rPr>
          <w:rFonts w:ascii="Times New Roman" w:hAnsi="Times New Roman" w:cs="Times New Roman"/>
          <w:sz w:val="24"/>
          <w:szCs w:val="24"/>
        </w:rPr>
        <w:t>lso repeated the analysis in the presence of the inhibitor, 10 Mm theophylline to see how the reaction rate changes and the values are as shown above. In the absence of the inhibitor, the rate of reaction decreases with decreasing concentration.</w:t>
      </w:r>
      <w:r w:rsidRPr="00A40503" w:rsidR="006274FF">
        <w:rPr>
          <w:rFonts w:ascii="Times New Roman" w:hAnsi="Times New Roman" w:cs="Times New Roman"/>
          <w:sz w:val="24"/>
          <w:szCs w:val="24"/>
        </w:rPr>
        <w:t xml:space="preserve"> On the other hand, the decrease in the rate of reaction is uneven with decreasing concentration. </w:t>
      </w:r>
      <w:r>
        <w:rPr>
          <w:rFonts w:ascii="Times New Roman" w:hAnsi="Times New Roman" w:cs="Times New Roman"/>
          <w:sz w:val="24"/>
          <w:szCs w:val="24"/>
        </w:rPr>
        <w:t>A</w:t>
      </w:r>
      <w:r w:rsidRPr="00A40503" w:rsidR="00D76DB7">
        <w:rPr>
          <w:rFonts w:ascii="Times New Roman" w:hAnsi="Times New Roman" w:cs="Times New Roman"/>
          <w:sz w:val="24"/>
          <w:szCs w:val="24"/>
        </w:rPr>
        <w:t xml:space="preserve"> graph representing the information </w:t>
      </w:r>
      <w:r>
        <w:rPr>
          <w:rFonts w:ascii="Times New Roman" w:hAnsi="Times New Roman" w:cs="Times New Roman"/>
          <w:sz w:val="24"/>
          <w:szCs w:val="24"/>
        </w:rPr>
        <w:t xml:space="preserve">was plotted, </w:t>
      </w:r>
      <w:r w:rsidRPr="00A40503" w:rsidR="00D76DB7">
        <w:rPr>
          <w:rFonts w:ascii="Times New Roman" w:hAnsi="Times New Roman" w:cs="Times New Roman"/>
          <w:sz w:val="24"/>
          <w:szCs w:val="24"/>
        </w:rPr>
        <w:t>as shown below.</w:t>
      </w:r>
    </w:p>
    <w:p w:rsidR="006274FF" w:rsidRPr="00A40503" w:rsidP="00A40503">
      <w:pPr>
        <w:tabs>
          <w:tab w:val="left" w:pos="4005"/>
        </w:tabs>
        <w:spacing w:line="480" w:lineRule="auto"/>
        <w:rPr>
          <w:rFonts w:ascii="Times New Roman" w:hAnsi="Times New Roman" w:cs="Times New Roman"/>
          <w:sz w:val="24"/>
          <w:szCs w:val="24"/>
        </w:rPr>
      </w:pPr>
      <w:bookmarkStart w:id="0" w:name="_GoBack"/>
      <w:r w:rsidRPr="00A40503">
        <w:rPr>
          <w:rFonts w:ascii="Times New Roman" w:hAnsi="Times New Roman" w:cs="Times New Roman"/>
          <w:noProof/>
          <w:sz w:val="24"/>
          <w:szCs w:val="24"/>
        </w:rPr>
        <w:drawing>
          <wp:inline distT="0" distB="0" distL="0" distR="0">
            <wp:extent cx="4419600" cy="2857500"/>
            <wp:effectExtent l="0" t="0" r="0" b="0"/>
            <wp:docPr id="1" name="Chart 1">
              <a:extLst xmlns:a="http://schemas.openxmlformats.org/drawingml/2006/main">
                <a:ext xmlns:a="http://schemas.openxmlformats.org/drawingml/2006/main" uri="{FF2B5EF4-FFF2-40B4-BE49-F238E27FC236}">
                  <a16:creationId xmlns="" xmlns:a16="http://schemas.microsoft.com/office/drawing/2014/main" xmlns:arto="http://schemas.microsoft.com/office/word/2006/arto" xmlns:lc="http://schemas.openxmlformats.org/drawingml/2006/lockedCanvas" xmlns:xdr="http://schemas.openxmlformats.org/drawingml/2006/spreadsheetDrawing" id="{C135F43A-FC62-47CA-9C70-602D4E5294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bookmarkEnd w:id="0"/>
    </w:p>
    <w:p w:rsidR="006274FF" w:rsidRPr="00A40503" w:rsidP="00A40503">
      <w:pPr>
        <w:tabs>
          <w:tab w:val="left" w:pos="4005"/>
        </w:tabs>
        <w:spacing w:line="480" w:lineRule="auto"/>
        <w:rPr>
          <w:rFonts w:ascii="Times New Roman" w:hAnsi="Times New Roman" w:cs="Times New Roman"/>
          <w:sz w:val="24"/>
          <w:szCs w:val="24"/>
        </w:rPr>
      </w:pPr>
      <w:r>
        <w:rPr>
          <w:rFonts w:ascii="Times New Roman" w:hAnsi="Times New Roman" w:cs="Times New Roman"/>
          <w:sz w:val="24"/>
          <w:szCs w:val="24"/>
        </w:rPr>
        <w:t xml:space="preserve"> The calculation to get </w:t>
      </w:r>
      <w:r w:rsidRPr="00A40503">
        <w:rPr>
          <w:rFonts w:ascii="Times New Roman" w:hAnsi="Times New Roman" w:cs="Times New Roman"/>
          <w:sz w:val="24"/>
          <w:szCs w:val="24"/>
        </w:rPr>
        <w:t xml:space="preserve">the reciprocal of </w:t>
      </w:r>
      <w:r w:rsidRPr="00A40503" w:rsidR="00D76DB7">
        <w:rPr>
          <w:rFonts w:ascii="Times New Roman" w:hAnsi="Times New Roman" w:cs="Times New Roman"/>
          <w:sz w:val="24"/>
          <w:szCs w:val="24"/>
        </w:rPr>
        <w:t xml:space="preserve">concentration both in the presence of inhibitor and in the absence of inhibitor </w:t>
      </w:r>
      <w:r>
        <w:rPr>
          <w:rFonts w:ascii="Times New Roman" w:hAnsi="Times New Roman" w:cs="Times New Roman"/>
          <w:sz w:val="24"/>
          <w:szCs w:val="24"/>
        </w:rPr>
        <w:t xml:space="preserve">was done, </w:t>
      </w:r>
      <w:r w:rsidRPr="00A40503" w:rsidR="00D76DB7">
        <w:rPr>
          <w:rFonts w:ascii="Times New Roman" w:hAnsi="Times New Roman" w:cs="Times New Roman"/>
          <w:sz w:val="24"/>
          <w:szCs w:val="24"/>
        </w:rPr>
        <w:t>and the results are as shown on the table below.</w:t>
      </w:r>
    </w:p>
    <w:tbl>
      <w:tblPr>
        <w:tblW w:w="5380" w:type="dxa"/>
        <w:tblLook w:val="04A0"/>
      </w:tblPr>
      <w:tblGrid>
        <w:gridCol w:w="1900"/>
        <w:gridCol w:w="1900"/>
        <w:gridCol w:w="1580"/>
      </w:tblGrid>
      <w:tr w:rsidTr="00D76DB7">
        <w:tblPrEx>
          <w:tblW w:w="5380" w:type="dxa"/>
          <w:tblLook w:val="04A0"/>
        </w:tblPrEx>
        <w:trPr>
          <w:trHeight w:val="300"/>
        </w:trPr>
        <w:tc>
          <w:tcPr>
            <w:tcW w:w="1900" w:type="dxa"/>
            <w:tcBorders>
              <w:top w:val="nil"/>
              <w:left w:val="nil"/>
              <w:bottom w:val="nil"/>
              <w:right w:val="nil"/>
            </w:tcBorders>
            <w:shd w:val="clear" w:color="000000" w:fill="E2EFDA"/>
            <w:noWrap/>
            <w:vAlign w:val="bottom"/>
            <w:hideMark/>
          </w:tcPr>
          <w:p w:rsidR="00D76DB7" w:rsidRPr="00D76DB7" w:rsidP="00A40503">
            <w:pPr>
              <w:spacing w:after="0" w:line="480" w:lineRule="auto"/>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1/</w:t>
            </w:r>
            <w:r w:rsidRPr="00D76DB7">
              <w:rPr>
                <w:rFonts w:ascii="Times New Roman" w:eastAsia="Times New Roman" w:hAnsi="Times New Roman" w:cs="Times New Roman"/>
                <w:color w:val="000000"/>
                <w:sz w:val="24"/>
                <w:szCs w:val="24"/>
              </w:rPr>
              <w:t>mM</w:t>
            </w:r>
          </w:p>
        </w:tc>
        <w:tc>
          <w:tcPr>
            <w:tcW w:w="1900" w:type="dxa"/>
            <w:tcBorders>
              <w:top w:val="nil"/>
              <w:left w:val="nil"/>
              <w:bottom w:val="nil"/>
              <w:right w:val="nil"/>
            </w:tcBorders>
            <w:shd w:val="clear" w:color="000000" w:fill="E2EFDA"/>
            <w:noWrap/>
            <w:vAlign w:val="bottom"/>
            <w:hideMark/>
          </w:tcPr>
          <w:p w:rsidR="00D76DB7" w:rsidRPr="00D76DB7" w:rsidP="00A40503">
            <w:pPr>
              <w:spacing w:after="0" w:line="480" w:lineRule="auto"/>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 xml:space="preserve">No Inhibitor </w:t>
            </w:r>
          </w:p>
        </w:tc>
        <w:tc>
          <w:tcPr>
            <w:tcW w:w="1580" w:type="dxa"/>
            <w:tcBorders>
              <w:top w:val="nil"/>
              <w:left w:val="nil"/>
              <w:bottom w:val="nil"/>
              <w:right w:val="nil"/>
            </w:tcBorders>
            <w:shd w:val="clear" w:color="000000" w:fill="E2EFDA"/>
            <w:noWrap/>
            <w:vAlign w:val="bottom"/>
            <w:hideMark/>
          </w:tcPr>
          <w:p w:rsidR="00D76DB7" w:rsidRPr="00D76DB7" w:rsidP="00A40503">
            <w:pPr>
              <w:spacing w:after="0" w:line="480" w:lineRule="auto"/>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 xml:space="preserve">Inhibitor </w:t>
            </w:r>
          </w:p>
        </w:tc>
      </w:tr>
      <w:tr w:rsidTr="00D76DB7">
        <w:tblPrEx>
          <w:tblW w:w="5380" w:type="dxa"/>
          <w:tblLook w:val="04A0"/>
        </w:tblPrEx>
        <w:trPr>
          <w:trHeight w:val="300"/>
        </w:trPr>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2.083333333</w:t>
            </w:r>
          </w:p>
        </w:tc>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2.949852507</w:t>
            </w:r>
          </w:p>
        </w:tc>
        <w:tc>
          <w:tcPr>
            <w:tcW w:w="158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12.35635735</w:t>
            </w:r>
          </w:p>
        </w:tc>
      </w:tr>
      <w:tr w:rsidTr="00D76DB7">
        <w:tblPrEx>
          <w:tblW w:w="5380" w:type="dxa"/>
          <w:tblLook w:val="04A0"/>
        </w:tblPrEx>
        <w:trPr>
          <w:trHeight w:val="300"/>
        </w:trPr>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4.166666667</w:t>
            </w:r>
          </w:p>
        </w:tc>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1.340482574</w:t>
            </w:r>
          </w:p>
        </w:tc>
        <w:tc>
          <w:tcPr>
            <w:tcW w:w="158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6.729475101</w:t>
            </w:r>
          </w:p>
        </w:tc>
      </w:tr>
      <w:tr w:rsidTr="00D76DB7">
        <w:tblPrEx>
          <w:tblW w:w="5380" w:type="dxa"/>
          <w:tblLook w:val="04A0"/>
        </w:tblPrEx>
        <w:trPr>
          <w:trHeight w:val="300"/>
        </w:trPr>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6.25</w:t>
            </w:r>
          </w:p>
        </w:tc>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4.045307443</w:t>
            </w:r>
          </w:p>
        </w:tc>
        <w:tc>
          <w:tcPr>
            <w:tcW w:w="158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11.11111111</w:t>
            </w:r>
          </w:p>
        </w:tc>
      </w:tr>
      <w:tr w:rsidTr="00D76DB7">
        <w:tblPrEx>
          <w:tblW w:w="5380" w:type="dxa"/>
          <w:tblLook w:val="04A0"/>
        </w:tblPrEx>
        <w:trPr>
          <w:trHeight w:val="300"/>
        </w:trPr>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10.41666667</w:t>
            </w:r>
          </w:p>
        </w:tc>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4.87804878</w:t>
            </w:r>
          </w:p>
        </w:tc>
        <w:tc>
          <w:tcPr>
            <w:tcW w:w="158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13.14060447</w:t>
            </w:r>
          </w:p>
        </w:tc>
      </w:tr>
      <w:tr w:rsidTr="00D76DB7">
        <w:tblPrEx>
          <w:tblW w:w="5380" w:type="dxa"/>
          <w:tblLook w:val="04A0"/>
        </w:tblPrEx>
        <w:trPr>
          <w:trHeight w:val="300"/>
        </w:trPr>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center"/>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#DIV/0!</w:t>
            </w:r>
          </w:p>
        </w:tc>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center"/>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#DIV/0!</w:t>
            </w:r>
          </w:p>
        </w:tc>
        <w:tc>
          <w:tcPr>
            <w:tcW w:w="1580" w:type="dxa"/>
            <w:tcBorders>
              <w:top w:val="nil"/>
              <w:left w:val="nil"/>
              <w:bottom w:val="nil"/>
              <w:right w:val="nil"/>
            </w:tcBorders>
            <w:shd w:val="clear" w:color="auto" w:fill="auto"/>
            <w:noWrap/>
            <w:vAlign w:val="bottom"/>
            <w:hideMark/>
          </w:tcPr>
          <w:p w:rsidR="00D76DB7" w:rsidRPr="00D76DB7" w:rsidP="00A40503">
            <w:pPr>
              <w:spacing w:after="0" w:line="480" w:lineRule="auto"/>
              <w:jc w:val="center"/>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#DIV/0!</w:t>
            </w:r>
          </w:p>
        </w:tc>
      </w:tr>
      <w:tr w:rsidTr="00D76DB7">
        <w:tblPrEx>
          <w:tblW w:w="5380" w:type="dxa"/>
          <w:tblLook w:val="04A0"/>
        </w:tblPrEx>
        <w:trPr>
          <w:trHeight w:val="300"/>
        </w:trPr>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20.83333333</w:t>
            </w:r>
          </w:p>
        </w:tc>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7.56429652</w:t>
            </w:r>
          </w:p>
        </w:tc>
        <w:tc>
          <w:tcPr>
            <w:tcW w:w="158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14.99250375</w:t>
            </w:r>
          </w:p>
        </w:tc>
      </w:tr>
      <w:tr w:rsidTr="00D76DB7">
        <w:tblPrEx>
          <w:tblW w:w="5380" w:type="dxa"/>
          <w:tblLook w:val="04A0"/>
        </w:tblPrEx>
        <w:trPr>
          <w:trHeight w:val="300"/>
        </w:trPr>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rPr>
                <w:rFonts w:ascii="Times New Roman" w:eastAsia="Times New Roman" w:hAnsi="Times New Roman" w:cs="Times New Roman"/>
                <w:sz w:val="24"/>
                <w:szCs w:val="24"/>
              </w:rPr>
            </w:pPr>
          </w:p>
        </w:tc>
        <w:tc>
          <w:tcPr>
            <w:tcW w:w="1580" w:type="dxa"/>
            <w:tcBorders>
              <w:top w:val="nil"/>
              <w:left w:val="nil"/>
              <w:bottom w:val="nil"/>
              <w:right w:val="nil"/>
            </w:tcBorders>
            <w:shd w:val="clear" w:color="auto" w:fill="auto"/>
            <w:noWrap/>
            <w:vAlign w:val="bottom"/>
            <w:hideMark/>
          </w:tcPr>
          <w:p w:rsidR="00D76DB7" w:rsidRPr="00D76DB7" w:rsidP="00A40503">
            <w:pPr>
              <w:spacing w:after="0" w:line="480" w:lineRule="auto"/>
              <w:rPr>
                <w:rFonts w:ascii="Times New Roman" w:eastAsia="Times New Roman" w:hAnsi="Times New Roman" w:cs="Times New Roman"/>
                <w:sz w:val="24"/>
                <w:szCs w:val="24"/>
              </w:rPr>
            </w:pPr>
          </w:p>
        </w:tc>
      </w:tr>
    </w:tbl>
    <w:p w:rsidR="00DA58D9" w:rsidRPr="00A40503" w:rsidP="00A40503">
      <w:pPr>
        <w:tabs>
          <w:tab w:val="left" w:pos="4005"/>
        </w:tabs>
        <w:spacing w:line="480" w:lineRule="auto"/>
        <w:rPr>
          <w:rFonts w:ascii="Times New Roman" w:hAnsi="Times New Roman" w:cs="Times New Roman"/>
          <w:sz w:val="24"/>
          <w:szCs w:val="24"/>
        </w:rPr>
      </w:pPr>
      <w:r>
        <w:rPr>
          <w:rFonts w:ascii="Times New Roman" w:hAnsi="Times New Roman" w:cs="Times New Roman"/>
          <w:sz w:val="24"/>
          <w:szCs w:val="24"/>
        </w:rPr>
        <w:t>The calculation</w:t>
      </w:r>
      <w:r w:rsidRPr="00A40503">
        <w:rPr>
          <w:rFonts w:ascii="Times New Roman" w:hAnsi="Times New Roman" w:cs="Times New Roman"/>
          <w:sz w:val="24"/>
          <w:szCs w:val="24"/>
        </w:rPr>
        <w:t xml:space="preserve"> </w:t>
      </w:r>
      <w:r>
        <w:rPr>
          <w:rFonts w:ascii="Times New Roman" w:hAnsi="Times New Roman" w:cs="Times New Roman"/>
          <w:sz w:val="24"/>
          <w:szCs w:val="24"/>
        </w:rPr>
        <w:t xml:space="preserve">to obtain </w:t>
      </w:r>
      <w:r w:rsidRPr="00A40503">
        <w:rPr>
          <w:rFonts w:ascii="Times New Roman" w:hAnsi="Times New Roman" w:cs="Times New Roman"/>
          <w:sz w:val="24"/>
          <w:szCs w:val="24"/>
        </w:rPr>
        <w:t xml:space="preserve">the reciprocal of both the maximum velocity </w:t>
      </w:r>
      <w:r>
        <w:rPr>
          <w:rFonts w:ascii="Times New Roman" w:hAnsi="Times New Roman" w:cs="Times New Roman"/>
          <w:sz w:val="24"/>
          <w:szCs w:val="24"/>
        </w:rPr>
        <w:t xml:space="preserve">was done </w:t>
      </w:r>
      <w:r w:rsidRPr="00A40503">
        <w:rPr>
          <w:rFonts w:ascii="Times New Roman" w:hAnsi="Times New Roman" w:cs="Times New Roman"/>
          <w:sz w:val="24"/>
          <w:szCs w:val="24"/>
        </w:rPr>
        <w:t>and Michaelis-Menten constant, as shown below in the presence of an inhibitor and its absence.
</w:t>
      </w:r>
    </w:p>
    <w:tbl>
      <w:tblPr>
        <w:tblW w:w="9176" w:type="dxa"/>
        <w:tblLook w:val="04A0"/>
      </w:tblPr>
      <w:tblGrid>
        <w:gridCol w:w="1916"/>
        <w:gridCol w:w="1916"/>
        <w:gridCol w:w="1596"/>
        <w:gridCol w:w="1836"/>
        <w:gridCol w:w="1056"/>
        <w:gridCol w:w="956"/>
      </w:tblGrid>
      <w:tr w:rsidTr="00DA58D9">
        <w:tblPrEx>
          <w:tblW w:w="9176" w:type="dxa"/>
          <w:tblLook w:val="04A0"/>
        </w:tblPrEx>
        <w:trPr>
          <w:trHeight w:val="300"/>
        </w:trPr>
        <w:tc>
          <w:tcPr>
            <w:tcW w:w="1916" w:type="dxa"/>
            <w:tcBorders>
              <w:top w:val="nil"/>
              <w:left w:val="nil"/>
              <w:bottom w:val="nil"/>
              <w:right w:val="nil"/>
            </w:tcBorders>
            <w:shd w:val="clear" w:color="000000" w:fill="FFF2CC"/>
            <w:noWrap/>
            <w:vAlign w:val="bottom"/>
            <w:hideMark/>
          </w:tcPr>
          <w:p w:rsidR="00DA58D9" w:rsidRPr="00DA58D9" w:rsidP="00A40503">
            <w:pPr>
              <w:spacing w:after="0" w:line="480" w:lineRule="auto"/>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1/Km (set y=0)</w:t>
            </w:r>
          </w:p>
        </w:tc>
        <w:tc>
          <w:tcPr>
            <w:tcW w:w="1916" w:type="dxa"/>
            <w:tcBorders>
              <w:top w:val="nil"/>
              <w:left w:val="nil"/>
              <w:bottom w:val="nil"/>
              <w:right w:val="nil"/>
            </w:tcBorders>
            <w:shd w:val="clear" w:color="000000" w:fill="FFF2CC"/>
            <w:noWrap/>
            <w:vAlign w:val="bottom"/>
            <w:hideMark/>
          </w:tcPr>
          <w:p w:rsidR="00DA58D9" w:rsidRPr="00DA58D9" w:rsidP="00A40503">
            <w:pPr>
              <w:spacing w:after="0" w:line="480" w:lineRule="auto"/>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1/Vmax (set x=0)</w:t>
            </w:r>
          </w:p>
        </w:tc>
        <w:tc>
          <w:tcPr>
            <w:tcW w:w="1596" w:type="dxa"/>
            <w:tcBorders>
              <w:top w:val="nil"/>
              <w:left w:val="nil"/>
              <w:bottom w:val="nil"/>
              <w:right w:val="nil"/>
            </w:tcBorders>
            <w:shd w:val="clear" w:color="000000" w:fill="FFF2CC"/>
            <w:noWrap/>
            <w:vAlign w:val="bottom"/>
            <w:hideMark/>
          </w:tcPr>
          <w:p w:rsidR="00DA58D9" w:rsidRPr="00DA58D9" w:rsidP="00A40503">
            <w:pPr>
              <w:spacing w:after="0" w:line="480" w:lineRule="auto"/>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Km (1/ (-1/Km)</w:t>
            </w:r>
          </w:p>
        </w:tc>
        <w:tc>
          <w:tcPr>
            <w:tcW w:w="1836" w:type="dxa"/>
            <w:tcBorders>
              <w:top w:val="nil"/>
              <w:left w:val="nil"/>
              <w:bottom w:val="nil"/>
              <w:right w:val="nil"/>
            </w:tcBorders>
            <w:shd w:val="clear" w:color="000000" w:fill="FFF2CC"/>
            <w:noWrap/>
            <w:vAlign w:val="bottom"/>
            <w:hideMark/>
          </w:tcPr>
          <w:p w:rsidR="00DA58D9" w:rsidRPr="00DA58D9" w:rsidP="00A40503">
            <w:pPr>
              <w:spacing w:after="0" w:line="480" w:lineRule="auto"/>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Vmax (1/ (1/Vmax))</w:t>
            </w:r>
          </w:p>
        </w:tc>
        <w:tc>
          <w:tcPr>
            <w:tcW w:w="956" w:type="dxa"/>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color w:val="000000"/>
                <w:sz w:val="24"/>
                <w:szCs w:val="24"/>
              </w:rPr>
            </w:pPr>
          </w:p>
        </w:tc>
        <w:tc>
          <w:tcPr>
            <w:tcW w:w="956" w:type="dxa"/>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sz w:val="24"/>
                <w:szCs w:val="24"/>
              </w:rPr>
            </w:pPr>
          </w:p>
        </w:tc>
      </w:tr>
      <w:tr w:rsidTr="00DA58D9">
        <w:tblPrEx>
          <w:tblW w:w="9176" w:type="dxa"/>
          <w:tblLook w:val="04A0"/>
        </w:tblPrEx>
        <w:trPr>
          <w:trHeight w:val="300"/>
        </w:trPr>
        <w:tc>
          <w:tcPr>
            <w:tcW w:w="1916" w:type="dxa"/>
            <w:tcBorders>
              <w:top w:val="nil"/>
              <w:left w:val="nil"/>
              <w:bottom w:val="nil"/>
              <w:right w:val="nil"/>
            </w:tcBorders>
            <w:shd w:val="clear" w:color="auto" w:fill="auto"/>
            <w:noWrap/>
            <w:vAlign w:val="bottom"/>
            <w:hideMark/>
          </w:tcPr>
          <w:p w:rsidR="00DA58D9" w:rsidRPr="00DA58D9" w:rsidP="00A40503">
            <w:pPr>
              <w:spacing w:after="0" w:line="480" w:lineRule="auto"/>
              <w:jc w:val="right"/>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-3.191946715</w:t>
            </w:r>
          </w:p>
        </w:tc>
        <w:tc>
          <w:tcPr>
            <w:tcW w:w="1916" w:type="dxa"/>
            <w:tcBorders>
              <w:top w:val="nil"/>
              <w:left w:val="nil"/>
              <w:bottom w:val="nil"/>
              <w:right w:val="nil"/>
            </w:tcBorders>
            <w:shd w:val="clear" w:color="auto" w:fill="auto"/>
            <w:noWrap/>
            <w:vAlign w:val="bottom"/>
            <w:hideMark/>
          </w:tcPr>
          <w:p w:rsidR="00DA58D9" w:rsidRPr="00DA58D9" w:rsidP="00A40503">
            <w:pPr>
              <w:spacing w:after="0" w:line="480" w:lineRule="auto"/>
              <w:jc w:val="right"/>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1.0543</w:t>
            </w:r>
          </w:p>
        </w:tc>
        <w:tc>
          <w:tcPr>
            <w:tcW w:w="1596" w:type="dxa"/>
            <w:tcBorders>
              <w:top w:val="nil"/>
              <w:left w:val="nil"/>
              <w:bottom w:val="nil"/>
              <w:right w:val="nil"/>
            </w:tcBorders>
            <w:shd w:val="clear" w:color="auto" w:fill="auto"/>
            <w:noWrap/>
            <w:vAlign w:val="bottom"/>
            <w:hideMark/>
          </w:tcPr>
          <w:p w:rsidR="00DA58D9" w:rsidRPr="00DA58D9" w:rsidP="00A40503">
            <w:pPr>
              <w:spacing w:after="0" w:line="480" w:lineRule="auto"/>
              <w:jc w:val="right"/>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0.313288438</w:t>
            </w:r>
          </w:p>
        </w:tc>
        <w:tc>
          <w:tcPr>
            <w:tcW w:w="1836" w:type="dxa"/>
            <w:tcBorders>
              <w:top w:val="nil"/>
              <w:left w:val="nil"/>
              <w:bottom w:val="nil"/>
              <w:right w:val="nil"/>
            </w:tcBorders>
            <w:shd w:val="clear" w:color="auto" w:fill="auto"/>
            <w:noWrap/>
            <w:vAlign w:val="bottom"/>
            <w:hideMark/>
          </w:tcPr>
          <w:p w:rsidR="00DA58D9" w:rsidRPr="00DA58D9" w:rsidP="00A40503">
            <w:pPr>
              <w:spacing w:after="0" w:line="480" w:lineRule="auto"/>
              <w:jc w:val="right"/>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0.948496633</w:t>
            </w:r>
          </w:p>
        </w:tc>
        <w:tc>
          <w:tcPr>
            <w:tcW w:w="1912" w:type="dxa"/>
            <w:gridSpan w:val="2"/>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No inhibitor</w:t>
            </w:r>
          </w:p>
        </w:tc>
      </w:tr>
      <w:tr w:rsidTr="00DA58D9">
        <w:tblPrEx>
          <w:tblW w:w="9176" w:type="dxa"/>
          <w:tblLook w:val="04A0"/>
        </w:tblPrEx>
        <w:trPr>
          <w:trHeight w:val="300"/>
        </w:trPr>
        <w:tc>
          <w:tcPr>
            <w:tcW w:w="1916" w:type="dxa"/>
            <w:tcBorders>
              <w:top w:val="nil"/>
              <w:left w:val="nil"/>
              <w:bottom w:val="nil"/>
              <w:right w:val="nil"/>
            </w:tcBorders>
            <w:shd w:val="clear" w:color="auto" w:fill="auto"/>
            <w:noWrap/>
            <w:vAlign w:val="bottom"/>
            <w:hideMark/>
          </w:tcPr>
          <w:p w:rsidR="00DA58D9" w:rsidRPr="00DA58D9" w:rsidP="00A40503">
            <w:pPr>
              <w:spacing w:after="0" w:line="480" w:lineRule="auto"/>
              <w:jc w:val="right"/>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-11.49371981</w:t>
            </w:r>
          </w:p>
        </w:tc>
        <w:tc>
          <w:tcPr>
            <w:tcW w:w="1916" w:type="dxa"/>
            <w:tcBorders>
              <w:top w:val="nil"/>
              <w:left w:val="nil"/>
              <w:bottom w:val="nil"/>
              <w:right w:val="nil"/>
            </w:tcBorders>
            <w:shd w:val="clear" w:color="auto" w:fill="auto"/>
            <w:noWrap/>
            <w:vAlign w:val="bottom"/>
            <w:hideMark/>
          </w:tcPr>
          <w:p w:rsidR="00DA58D9" w:rsidRPr="00DA58D9" w:rsidP="00A40503">
            <w:pPr>
              <w:spacing w:after="0" w:line="480" w:lineRule="auto"/>
              <w:jc w:val="right"/>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5.948</w:t>
            </w:r>
          </w:p>
        </w:tc>
        <w:tc>
          <w:tcPr>
            <w:tcW w:w="1596" w:type="dxa"/>
            <w:tcBorders>
              <w:top w:val="nil"/>
              <w:left w:val="nil"/>
              <w:bottom w:val="nil"/>
              <w:right w:val="nil"/>
            </w:tcBorders>
            <w:shd w:val="clear" w:color="auto" w:fill="auto"/>
            <w:noWrap/>
            <w:vAlign w:val="bottom"/>
            <w:hideMark/>
          </w:tcPr>
          <w:p w:rsidR="00DA58D9" w:rsidRPr="00DA58D9" w:rsidP="00A40503">
            <w:pPr>
              <w:spacing w:after="0" w:line="480" w:lineRule="auto"/>
              <w:jc w:val="right"/>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0.087004035</w:t>
            </w:r>
          </w:p>
        </w:tc>
        <w:tc>
          <w:tcPr>
            <w:tcW w:w="1836" w:type="dxa"/>
            <w:tcBorders>
              <w:top w:val="nil"/>
              <w:left w:val="nil"/>
              <w:bottom w:val="nil"/>
              <w:right w:val="nil"/>
            </w:tcBorders>
            <w:shd w:val="clear" w:color="auto" w:fill="auto"/>
            <w:noWrap/>
            <w:vAlign w:val="bottom"/>
            <w:hideMark/>
          </w:tcPr>
          <w:p w:rsidR="00DA58D9" w:rsidRPr="00DA58D9" w:rsidP="00A40503">
            <w:pPr>
              <w:spacing w:after="0" w:line="480" w:lineRule="auto"/>
              <w:jc w:val="right"/>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0.168123739</w:t>
            </w:r>
          </w:p>
        </w:tc>
        <w:tc>
          <w:tcPr>
            <w:tcW w:w="956" w:type="dxa"/>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Inhibitor</w:t>
            </w:r>
          </w:p>
        </w:tc>
        <w:tc>
          <w:tcPr>
            <w:tcW w:w="956" w:type="dxa"/>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color w:val="000000"/>
                <w:sz w:val="24"/>
                <w:szCs w:val="24"/>
              </w:rPr>
            </w:pPr>
          </w:p>
        </w:tc>
      </w:tr>
      <w:tr w:rsidTr="00DA58D9">
        <w:tblPrEx>
          <w:tblW w:w="9176" w:type="dxa"/>
          <w:tblLook w:val="04A0"/>
        </w:tblPrEx>
        <w:trPr>
          <w:trHeight w:val="300"/>
        </w:trPr>
        <w:tc>
          <w:tcPr>
            <w:tcW w:w="1916" w:type="dxa"/>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sz w:val="24"/>
                <w:szCs w:val="24"/>
              </w:rPr>
            </w:pPr>
          </w:p>
        </w:tc>
        <w:tc>
          <w:tcPr>
            <w:tcW w:w="1916" w:type="dxa"/>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sz w:val="24"/>
                <w:szCs w:val="24"/>
              </w:rPr>
            </w:pPr>
          </w:p>
        </w:tc>
        <w:tc>
          <w:tcPr>
            <w:tcW w:w="1596" w:type="dxa"/>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sz w:val="24"/>
                <w:szCs w:val="24"/>
              </w:rPr>
            </w:pPr>
          </w:p>
        </w:tc>
        <w:tc>
          <w:tcPr>
            <w:tcW w:w="1836" w:type="dxa"/>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sz w:val="24"/>
                <w:szCs w:val="24"/>
              </w:rPr>
            </w:pPr>
          </w:p>
        </w:tc>
        <w:tc>
          <w:tcPr>
            <w:tcW w:w="956" w:type="dxa"/>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sz w:val="24"/>
                <w:szCs w:val="24"/>
              </w:rPr>
            </w:pPr>
          </w:p>
        </w:tc>
        <w:tc>
          <w:tcPr>
            <w:tcW w:w="956" w:type="dxa"/>
            <w:tcBorders>
              <w:top w:val="nil"/>
              <w:left w:val="nil"/>
              <w:bottom w:val="nil"/>
              <w:right w:val="nil"/>
            </w:tcBorders>
            <w:shd w:val="clear" w:color="auto" w:fill="auto"/>
            <w:noWrap/>
            <w:vAlign w:val="bottom"/>
            <w:hideMark/>
          </w:tcPr>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DA58D9" w:rsidP="00A40503">
            <w:pPr>
              <w:spacing w:after="0" w:line="480" w:lineRule="auto"/>
              <w:rPr>
                <w:rFonts w:ascii="Times New Roman" w:eastAsia="Times New Roman" w:hAnsi="Times New Roman" w:cs="Times New Roman"/>
                <w:sz w:val="24"/>
                <w:szCs w:val="24"/>
              </w:rPr>
            </w:pPr>
          </w:p>
        </w:tc>
      </w:tr>
    </w:tbl>
    <w:p w:rsidR="006274FF" w:rsidRPr="00A40503" w:rsidP="00A40503">
      <w:pPr>
        <w:tabs>
          <w:tab w:val="left" w:pos="4005"/>
        </w:tabs>
        <w:spacing w:line="480" w:lineRule="auto"/>
        <w:rPr>
          <w:rFonts w:ascii="Times New Roman" w:hAnsi="Times New Roman" w:cs="Times New Roman"/>
          <w:sz w:val="24"/>
          <w:szCs w:val="24"/>
        </w:rPr>
      </w:pPr>
      <w:r>
        <w:rPr>
          <w:rFonts w:ascii="Times New Roman" w:hAnsi="Times New Roman" w:cs="Times New Roman"/>
          <w:sz w:val="24"/>
          <w:szCs w:val="24"/>
        </w:rPr>
        <w:t xml:space="preserve">Below is a </w:t>
      </w:r>
      <w:r w:rsidRPr="00A40503" w:rsidR="003974CC">
        <w:rPr>
          <w:rFonts w:ascii="Times New Roman" w:hAnsi="Times New Roman" w:cs="Times New Roman"/>
          <w:sz w:val="24"/>
          <w:szCs w:val="24"/>
        </w:rPr>
        <w:t xml:space="preserve">plotted a graph of </w:t>
      </w:r>
      <w:r>
        <w:rPr>
          <w:rFonts w:ascii="Times New Roman" w:hAnsi="Times New Roman" w:cs="Times New Roman"/>
          <w:sz w:val="24"/>
          <w:szCs w:val="24"/>
        </w:rPr>
        <w:t>1/v against 1/C and the graph</w:t>
      </w:r>
      <w:r w:rsidRPr="00A40503" w:rsidR="003974CC">
        <w:rPr>
          <w:rFonts w:ascii="Times New Roman" w:hAnsi="Times New Roman" w:cs="Times New Roman"/>
          <w:sz w:val="24"/>
          <w:szCs w:val="24"/>
        </w:rPr>
        <w:t xml:space="preserve"> is shown:
</w:t>
      </w:r>
    </w:p>
    <w:p w:rsidR="003974CC"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noProof/>
          <w:sz w:val="24"/>
          <w:szCs w:val="24"/>
        </w:rPr>
        <w:drawing>
          <wp:inline distT="0" distB="0" distL="0" distR="0">
            <wp:extent cx="4419600" cy="2857500"/>
            <wp:effectExtent l="0" t="0" r="0" b="0"/>
            <wp:docPr id="2" name="Chart 2">
              <a:extLst xmlns:a="http://schemas.openxmlformats.org/drawingml/2006/main">
                <a:ext xmlns:a="http://schemas.openxmlformats.org/drawingml/2006/main" uri="{FF2B5EF4-FFF2-40B4-BE49-F238E27FC236}">
                  <a16:creationId xmlns="" xmlns:a16="http://schemas.microsoft.com/office/drawing/2014/main" xmlns:arto="http://schemas.microsoft.com/office/word/2006/arto" xmlns:lc="http://schemas.openxmlformats.org/drawingml/2006/lockedCanvas" xmlns:xdr="http://schemas.openxmlformats.org/drawingml/2006/spreadsheetDrawing" id="{6427A008-78BD-426E-93DC-426768EDB2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3974CC"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The graph for the reaction in the presence of the inhibitor starts when 1/V=6 and in the absence of the inhibitor when 1/V=1.
</w:t>
      </w:r>
    </w:p>
    <w:p w:rsidR="003974CC" w:rsidRPr="00A40503" w:rsidP="00A40503">
      <w:pPr>
        <w:tabs>
          <w:tab w:val="left" w:pos="4005"/>
        </w:tabs>
        <w:spacing w:line="480" w:lineRule="auto"/>
        <w:rPr>
          <w:rFonts w:ascii="Times New Roman" w:hAnsi="Times New Roman" w:cs="Times New Roman"/>
          <w:sz w:val="24"/>
          <w:szCs w:val="24"/>
        </w:rPr>
      </w:pP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84398609"/>
      <w:docPartObj>
        <w:docPartGallery w:val="Page Numbers (Top of Page)"/>
        <w:docPartUnique/>
      </w:docPartObj>
    </w:sdtPr>
    <w:sdtEndPr>
      <w:rPr>
        <w:noProof/>
      </w:rPr>
    </w:sdtEndPr>
    <w:sdtContent>
      <w:p w:rsidR="00CD364E" w:rsidP="00A40503">
        <w:pPr>
          <w:pStyle w:val="Header"/>
        </w:pPr>
        <w:r>
          <w:t>Role of the enzyme in the cell</w:t>
        </w:r>
        <w:r>
          <w:tab/>
        </w:r>
        <w:r>
          <w:tab/>
        </w:r>
        <w:r>
          <w:fldChar w:fldCharType="begin"/>
        </w:r>
        <w:r>
          <w:instrText xml:space="preserve"> PAGE   \* MERGEFORMAT </w:instrText>
        </w:r>
        <w:r>
          <w:fldChar w:fldCharType="separate"/>
        </w:r>
        <w:r w:rsidR="0001792A">
          <w:rPr>
            <w:noProof/>
          </w:rPr>
          <w:t>6</w:t>
        </w:r>
        <w:r>
          <w:rPr>
            <w:noProof/>
          </w:rPr>
          <w:fldChar w:fldCharType="end"/>
        </w:r>
      </w:p>
    </w:sdtContent>
  </w:sdt>
  <w:p w:rsidR="00CD36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8FF"/>
    <w:rsid w:val="0001792A"/>
    <w:rsid w:val="00060D8C"/>
    <w:rsid w:val="000D573C"/>
    <w:rsid w:val="00193DDC"/>
    <w:rsid w:val="00291977"/>
    <w:rsid w:val="00325356"/>
    <w:rsid w:val="003974CC"/>
    <w:rsid w:val="00397E06"/>
    <w:rsid w:val="003F134E"/>
    <w:rsid w:val="00497B0B"/>
    <w:rsid w:val="004C2E4B"/>
    <w:rsid w:val="006076F2"/>
    <w:rsid w:val="006274FF"/>
    <w:rsid w:val="00636DDC"/>
    <w:rsid w:val="009208FF"/>
    <w:rsid w:val="00A40503"/>
    <w:rsid w:val="00BD0B4F"/>
    <w:rsid w:val="00CD364E"/>
    <w:rsid w:val="00D76DB7"/>
    <w:rsid w:val="00DA58D9"/>
    <w:rsid w:val="00E320AF"/>
    <w:rsid w:val="00ED1890"/>
    <w:rsid w:val="00F83D90"/>
    <w:rsid w:val="00FA72E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5383C01-5D9B-4108-9C52-C2D846EA7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3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0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503"/>
  </w:style>
  <w:style w:type="paragraph" w:styleId="Footer">
    <w:name w:val="footer"/>
    <w:basedOn w:val="Normal"/>
    <w:link w:val="FooterChar"/>
    <w:uiPriority w:val="99"/>
    <w:unhideWhenUsed/>
    <w:rsid w:val="00A40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hart" Target="charts/chart1.xml" /><Relationship Id="rId5" Type="http://schemas.openxmlformats.org/officeDocument/2006/relationships/chart" Target="charts/chart2.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charts/_rels/chart1.xml.rels>&#65279;<?xml version="1.0" encoding="utf-8" standalone="yes"?><Relationships xmlns="http://schemas.openxmlformats.org/package/2006/relationships"><Relationship Id="rId1" Type="http://schemas.openxmlformats.org/officeDocument/2006/relationships/oleObject" Target="../embeddings/OleObject1.bin" /><Relationship Id="rId2" Type="http://schemas.openxmlformats.org/officeDocument/2006/relationships/themeOverride" Target="../theme/themeOverride1.xml" /><Relationship Id="rId3" Type="http://schemas.microsoft.com/office/2011/relationships/chartColorStyle" Target="chart/colors1.xml" /><Relationship Id="rId4" Type="http://schemas.microsoft.com/office/2011/relationships/chartStyle" Target="chart/style1.xml" /></Relationships>
</file>

<file path=word/charts/_rels/chart2.xml.rels>&#65279;<?xml version="1.0" encoding="utf-8" standalone="yes"?><Relationships xmlns="http://schemas.openxmlformats.org/package/2006/relationships"><Relationship Id="rId1" Type="http://schemas.openxmlformats.org/officeDocument/2006/relationships/oleObject" Target="../embeddings/OleObject2.bin" /><Relationship Id="rId2" Type="http://schemas.microsoft.com/office/2011/relationships/chartColorStyle" Target="chart/colors2.xml" /><Relationship Id="rId3" Type="http://schemas.microsoft.com/office/2011/relationships/chartStyle" Target="chart/style2.xml" /></Relationships>
</file>

<file path=word/charts/chart/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chart/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09845603674540683"/>
          <c:y val="0.037037037037037035"/>
          <c:w val="0.82183573928258968"/>
          <c:h val="0.63759988334791484"/>
        </c:manualLayout>
      </c:layout>
      <c:scatterChart>
        <c:scatterStyle val="lineMarker"/>
        <c:varyColors val="0"/>
        <c:ser>
          <c:idx val="0"/>
          <c:order val="0"/>
          <c:tx>
            <c:v>inhibitor</c:v>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og"/>
            <c:dispRSqr val="0"/>
            <c:dispEq val="0"/>
          </c:trendline>
          <c:xVal>
            <c:numRef>
              <c:f>'[Copy of Module B3 Graphing.xlsx]Example Graphing'!$A$2:$A$7</c:f>
              <c:numCache>
                <c:formatCode>General</c:formatCode>
                <c:ptCount val="6"/>
                <c:pt idx="0">
                  <c:v>0.48</c:v>
                </c:pt>
                <c:pt idx="1">
                  <c:v>0.24</c:v>
                </c:pt>
                <c:pt idx="2">
                  <c:v>0.16</c:v>
                </c:pt>
                <c:pt idx="3">
                  <c:v>0.096</c:v>
                </c:pt>
                <c:pt idx="5">
                  <c:v>0.048</c:v>
                </c:pt>
              </c:numCache>
            </c:numRef>
          </c:xVal>
          <c:yVal>
            <c:numRef>
              <c:f>'[Copy of Module B3 Graphing.xlsx]Example Graphing'!$C$2:$C$8</c:f>
              <c:numCache>
                <c:formatCode>General</c:formatCode>
                <c:ptCount val="7"/>
                <c:pt idx="0">
                  <c:v>0.08093</c:v>
                </c:pt>
                <c:pt idx="1">
                  <c:v>0.1486</c:v>
                </c:pt>
                <c:pt idx="2">
                  <c:v>0.09</c:v>
                </c:pt>
                <c:pt idx="3">
                  <c:v>0.0761</c:v>
                </c:pt>
                <c:pt idx="5">
                  <c:v>0.0667</c:v>
                </c:pt>
                <c:pt idx="6">
                  <c:v>0</c:v>
                </c:pt>
              </c:numCache>
            </c:numRef>
          </c:yVal>
          <c:smooth val="0"/>
          <c:extLst>
            <c:ext xmlns:c="http://schemas.openxmlformats.org/drawingml/2006/chart" xmlns:c16="http://schemas.microsoft.com/office/drawing/2014/chart" uri="{C3380CC4-5D6E-409C-BE32-E72D297353CC}">
              <c16:uniqueId val="{00000003-661A-48A4-800C-A32603BE34E5}"/>
            </c:ext>
          </c:extLst>
        </c:ser>
        <c:ser>
          <c:idx val="1"/>
          <c:order val="1"/>
          <c:tx>
            <c:v>no inhibitor</c:v>
          </c:tx>
          <c:spPr>
            <a:ln w="1905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og"/>
            <c:dispRSqr val="0"/>
            <c:dispEq val="0"/>
          </c:trendline>
          <c:xVal>
            <c:numRef>
              <c:f>'[Copy of Module B3 Graphing.xlsx]Example Graphing'!$A$2:$A$7</c:f>
              <c:numCache>
                <c:formatCode>General</c:formatCode>
                <c:ptCount val="6"/>
                <c:pt idx="0">
                  <c:v>0.48</c:v>
                </c:pt>
                <c:pt idx="1">
                  <c:v>0.24</c:v>
                </c:pt>
                <c:pt idx="2">
                  <c:v>0.16</c:v>
                </c:pt>
                <c:pt idx="3">
                  <c:v>0.096</c:v>
                </c:pt>
                <c:pt idx="5">
                  <c:v>0.048</c:v>
                </c:pt>
              </c:numCache>
            </c:numRef>
          </c:xVal>
          <c:yVal>
            <c:numRef>
              <c:f>'[Copy of Module B3 Graphing.xlsx]Example Graphing'!$B$2:$B$7</c:f>
              <c:numCache>
                <c:formatCode>General</c:formatCode>
                <c:ptCount val="6"/>
                <c:pt idx="0">
                  <c:v>0.339</c:v>
                </c:pt>
                <c:pt idx="1">
                  <c:v>0.746</c:v>
                </c:pt>
                <c:pt idx="2">
                  <c:v>0.2472</c:v>
                </c:pt>
                <c:pt idx="3">
                  <c:v>0.205</c:v>
                </c:pt>
                <c:pt idx="5">
                  <c:v>0.1322</c:v>
                </c:pt>
              </c:numCache>
            </c:numRef>
          </c:yVal>
          <c:smooth val="0"/>
          <c:extLst>
            <c:ext xmlns:c="http://schemas.openxmlformats.org/drawingml/2006/chart" xmlns:c16="http://schemas.microsoft.com/office/drawing/2014/chart" uri="{C3380CC4-5D6E-409C-BE32-E72D297353CC}">
              <c16:uniqueId val="{00000004-661A-48A4-800C-A32603BE34E5}"/>
            </c:ext>
          </c:extLst>
        </c:ser>
        <c:dLbls>
          <c:showLegendKey val="0"/>
          <c:showVal val="0"/>
          <c:showCatName val="0"/>
          <c:showSerName val="0"/>
          <c:showPercent val="0"/>
          <c:showBubbleSize val="0"/>
        </c:dLbls>
        <c:axId val="-399075376"/>
        <c:axId val="-399077008"/>
      </c:scatterChart>
      <c:valAx>
        <c:axId val="-399075376"/>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Concentration</a:t>
                </a:r>
                <a:r>
                  <a:rPr lang="en-US" baseline="0"/>
                  <a:t> (mM)</a:t>
                </a:r>
                <a:endParaRPr lang="en-US"/>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077008"/>
        <c:crosses val="autoZero"/>
        <c:crossBetween val="midCat"/>
      </c:valAx>
      <c:valAx>
        <c:axId val="-399077008"/>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Rate</a:t>
                </a:r>
                <a:r>
                  <a:rPr lang="en-US" baseline="0"/>
                  <a:t> (uM/s)</a:t>
                </a:r>
                <a:endParaRPr lang="en-US"/>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075376"/>
        <c:crosses val="autoZero"/>
        <c:crossBetween val="midCat"/>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inhibitor </c:v>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1"/>
            <c:trendlineLbl>
              <c:layout>
                <c:manualLayout>
                  <c:x val="-0.16763167104111992"/>
                  <c:y val="0.02928587051618547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'[Copy of Module B3 Graphing.xlsx]Example Graphing'!$A$15:$A$20</c:f>
              <c:numCache>
                <c:formatCode>General</c:formatCode>
                <c:ptCount val="6"/>
                <c:pt idx="0">
                  <c:v>2.0833333333333335</c:v>
                </c:pt>
                <c:pt idx="1">
                  <c:v>4.166666666666667</c:v>
                </c:pt>
                <c:pt idx="2">
                  <c:v>6.25</c:v>
                </c:pt>
                <c:pt idx="3">
                  <c:v>10.416666666666666</c:v>
                </c:pt>
                <c:pt idx="4">
                  <c:v>0</c:v>
                </c:pt>
                <c:pt idx="5">
                  <c:v>20.833333333333332</c:v>
                </c:pt>
              </c:numCache>
            </c:numRef>
          </c:xVal>
          <c:yVal>
            <c:numRef>
              <c:f>'[Copy of Module B3 Graphing.xlsx]Example Graphing'!$C$15:$C$20</c:f>
              <c:numCache>
                <c:formatCode>General</c:formatCode>
                <c:ptCount val="6"/>
                <c:pt idx="0">
                  <c:v>12.356357345854441</c:v>
                </c:pt>
                <c:pt idx="1">
                  <c:v>6.7294751009421256</c:v>
                </c:pt>
                <c:pt idx="2">
                  <c:v>11.111111111111111</c:v>
                </c:pt>
                <c:pt idx="3">
                  <c:v>13.140604467805518</c:v>
                </c:pt>
                <c:pt idx="4">
                  <c:v>0</c:v>
                </c:pt>
                <c:pt idx="5">
                  <c:v>14.992503748125937</c:v>
                </c:pt>
              </c:numCache>
            </c:numRef>
          </c:yVal>
          <c:smooth val="0"/>
          <c:extLst>
            <c:ext xmlns:c="http://schemas.openxmlformats.org/drawingml/2006/chart" xmlns:c16="http://schemas.microsoft.com/office/drawing/2014/chart" uri="{C3380CC4-5D6E-409C-BE32-E72D297353CC}">
              <c16:uniqueId val="{00000000-79B6-44FC-BBFE-9A5CBEC8A785}"/>
            </c:ext>
          </c:extLst>
        </c:ser>
        <c:ser>
          <c:idx val="1"/>
          <c:order val="1"/>
          <c:tx>
            <c:v>no inhibitor</c:v>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0"/>
            <c:dispEq val="0"/>
          </c:trendline>
          <c:trendline>
            <c:spPr>
              <a:ln w="19050" cap="rnd">
                <a:solidFill>
                  <a:schemeClr val="accent2"/>
                </a:solidFill>
                <a:prstDash val="sysDot"/>
              </a:ln>
              <a:effectLst/>
            </c:spPr>
            <c:trendlineType val="linear"/>
            <c:dispRSqr val="0"/>
            <c:dispEq val="1"/>
            <c:trendlineLbl>
              <c:layout>
                <c:manualLayout>
                  <c:x val="0.014643250067137455"/>
                  <c:y val="0.250865472213786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'[Copy of Module B3 Graphing.xlsx]Example Graphing'!$A$15:$A$20</c:f>
              <c:numCache>
                <c:formatCode>General</c:formatCode>
                <c:ptCount val="6"/>
                <c:pt idx="0">
                  <c:v>2.0833333333333335</c:v>
                </c:pt>
                <c:pt idx="1">
                  <c:v>4.166666666666667</c:v>
                </c:pt>
                <c:pt idx="2">
                  <c:v>6.25</c:v>
                </c:pt>
                <c:pt idx="3">
                  <c:v>10.416666666666666</c:v>
                </c:pt>
                <c:pt idx="4">
                  <c:v>0</c:v>
                </c:pt>
                <c:pt idx="5">
                  <c:v>20.833333333333332</c:v>
                </c:pt>
              </c:numCache>
            </c:numRef>
          </c:xVal>
          <c:yVal>
            <c:numRef>
              <c:f>'[Copy of Module B3 Graphing.xlsx]Example Graphing'!$B$15:$B$20</c:f>
              <c:numCache>
                <c:formatCode>General</c:formatCode>
                <c:ptCount val="6"/>
                <c:pt idx="0">
                  <c:v>2.9498525073746311</c:v>
                </c:pt>
                <c:pt idx="1">
                  <c:v>1.3404825737265416</c:v>
                </c:pt>
                <c:pt idx="2">
                  <c:v>4.0453074433656955</c:v>
                </c:pt>
                <c:pt idx="3">
                  <c:v>4.8780487804878048</c:v>
                </c:pt>
                <c:pt idx="4">
                  <c:v>0</c:v>
                </c:pt>
                <c:pt idx="5">
                  <c:v>7.5642965204236</c:v>
                </c:pt>
              </c:numCache>
            </c:numRef>
          </c:yVal>
          <c:smooth val="0"/>
          <c:extLst>
            <c:ext xmlns:c="http://schemas.openxmlformats.org/drawingml/2006/chart" xmlns:c16="http://schemas.microsoft.com/office/drawing/2014/chart" uri="{C3380CC4-5D6E-409C-BE32-E72D297353CC}">
              <c16:uniqueId val="{00000001-79B6-44FC-BBFE-9A5CBEC8A785}"/>
            </c:ext>
          </c:extLst>
        </c:ser>
        <c:dLbls>
          <c:showLegendKey val="0"/>
          <c:showVal val="0"/>
          <c:showCatName val="0"/>
          <c:showSerName val="0"/>
          <c:showPercent val="0"/>
          <c:showBubbleSize val="0"/>
        </c:dLbls>
        <c:axId val="-399076464"/>
        <c:axId val="-399067760"/>
      </c:scatterChart>
      <c:valAx>
        <c:axId val="-399076464"/>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1/Concentration</a:t>
                </a:r>
                <a:r>
                  <a:rPr lang="en-US" baseline="0"/>
                  <a:t> (mM)</a:t>
                </a:r>
                <a:endParaRPr lang="en-US"/>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067760"/>
        <c:crosses val="autoZero"/>
        <c:crossBetween val="midCat"/>
      </c:valAx>
      <c:valAx>
        <c:axId val="-399067760"/>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1/V</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076464"/>
        <c:crosses val="autoZero"/>
        <c:crossBetween val="midCat"/>
      </c:valAx>
      <c:spPr>
        <a:noFill/>
        <a:ln>
          <a:noFill/>
        </a:ln>
        <a:effectLst/>
      </c:spPr>
    </c:plotArea>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TotalTime>
  <Pages>6</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2019-09-22T20:18:00Z</dcterms:created>
  <dcterms:modified xsi:type="dcterms:W3CDTF">2019-09-22T20:21:00Z</dcterms:modified>
</cp:coreProperties>
</file>